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ΣΥΛΛΟΓΟΣ ΕΚΠΑΙΔΕΥΤΙΚΩΝ Π. Ε.                    Μαρούσι 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28 – 10 – 2019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="SimSun" w:hAnsi="Times New Roman" w:cstheme="minorBidi"/>
          <w:b/>
          <w:i/>
          <w:sz w:val="24"/>
          <w:szCs w:val="24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   ΑΜΑΡΟΥΣΙΟΥ                                                   </w:t>
      </w: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Αρ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. </w:t>
      </w: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Πρ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.: </w:t>
      </w:r>
      <w:r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200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Ταχ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. Δ/</w:t>
      </w: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νση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: 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Μαραθωνοδρόμου 54 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Τ. Κ. 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15124 Μαρούσι  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        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Τηλ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.: 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2108020788 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val="en-US" w:eastAsia="en-US"/>
        </w:rPr>
        <w:t>Fax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: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2108020788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            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Πληροφ.: Φ. Καββαδία 6932628101 </w:t>
      </w:r>
      <w:r w:rsidRPr="004E6A3C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val="en-US" w:eastAsia="en-US"/>
        </w:rPr>
        <w:t>Email</w:t>
      </w: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:syll2grafeio@gmail.com                                           </w:t>
      </w:r>
    </w:p>
    <w:p w:rsidR="004E6A3C" w:rsidRPr="004E6A3C" w:rsidRDefault="004E6A3C" w:rsidP="004E6A3C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Δικτυακός τόπος: </w:t>
      </w:r>
      <w:proofErr w:type="spellStart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http</w:t>
      </w:r>
      <w:proofErr w:type="spellEnd"/>
      <w:r w:rsidRPr="004E6A3C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 xml:space="preserve">//: </w:t>
      </w:r>
      <w:hyperlink r:id="rId5" w:history="1">
        <w:r w:rsidRPr="004E6A3C">
          <w:rPr>
            <w:rFonts w:ascii="Times New Roman" w:eastAsiaTheme="minorHAnsi" w:hAnsi="Times New Roman" w:cstheme="minorBidi"/>
            <w:b/>
            <w:i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E6A3C">
          <w:rPr>
            <w:rFonts w:ascii="Times New Roman" w:eastAsiaTheme="minorHAnsi" w:hAnsi="Times New Roman" w:cstheme="minorBidi"/>
            <w:b/>
            <w:i/>
            <w:color w:val="0000FF"/>
            <w:sz w:val="24"/>
            <w:szCs w:val="24"/>
            <w:u w:val="single"/>
            <w:lang w:eastAsia="en-US"/>
          </w:rPr>
          <w:t>.syllogosekpaideutikonpeamarousiou.gr</w:t>
        </w:r>
      </w:hyperlink>
    </w:p>
    <w:p w:rsidR="004E6A3C" w:rsidRPr="004E6A3C" w:rsidRDefault="004E6A3C" w:rsidP="004E6A3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4E6A3C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4E6A3C" w:rsidRPr="004E6A3C" w:rsidRDefault="004E6A3C" w:rsidP="004E6A3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</w:p>
    <w:p w:rsidR="004E6A3C" w:rsidRPr="004E6A3C" w:rsidRDefault="004E6A3C" w:rsidP="004E6A3C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</w:p>
    <w:p w:rsidR="004E6A3C" w:rsidRPr="004E6A3C" w:rsidRDefault="004E6A3C" w:rsidP="004E6A3C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4E6A3C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ΠΡΟΣ</w:t>
      </w:r>
    </w:p>
    <w:p w:rsidR="004E6A3C" w:rsidRDefault="004E6A3C" w:rsidP="004E6A3C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 w:rsidRPr="004E6A3C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ΤΑ ΜΕΛΗ ΤΟΥ ΣΥΛΛΟΓΟΥ </w:t>
      </w:r>
      <w:r w:rsidR="00051C7D"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ΜΑΣ</w:t>
      </w:r>
    </w:p>
    <w:p w:rsidR="00051C7D" w:rsidRDefault="00051C7D" w:rsidP="004E6A3C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>Κοινοποίηση:</w:t>
      </w:r>
    </w:p>
    <w:p w:rsidR="00051C7D" w:rsidRDefault="00051C7D" w:rsidP="004E6A3C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  <w:t xml:space="preserve">ΥΠΑΙΘ </w:t>
      </w:r>
    </w:p>
    <w:p w:rsidR="004E6A3C" w:rsidRPr="004E6A3C" w:rsidRDefault="004E6A3C" w:rsidP="004E6A3C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hi-IN" w:bidi="hi-IN"/>
        </w:rPr>
      </w:pPr>
    </w:p>
    <w:p w:rsidR="004E6A3C" w:rsidRPr="004E6A3C" w:rsidRDefault="004E6A3C" w:rsidP="004E6A3C">
      <w:pPr>
        <w:suppressAutoHyphens w:val="0"/>
        <w:jc w:val="right"/>
        <w:rPr>
          <w:rFonts w:ascii="Times New Roman" w:eastAsiaTheme="minorHAnsi" w:hAnsi="Times New Roman" w:cs="Times New Roman"/>
          <w:b/>
          <w:i/>
          <w:sz w:val="24"/>
          <w:lang w:eastAsia="en-US"/>
        </w:rPr>
      </w:pPr>
      <w:r w:rsidRPr="004E6A3C">
        <w:rPr>
          <w:rFonts w:ascii="Times New Roman" w:eastAsiaTheme="minorHAnsi" w:hAnsi="Times New Roman" w:cs="Times New Roman"/>
          <w:b/>
          <w:i/>
          <w:sz w:val="24"/>
          <w:lang w:eastAsia="en-US"/>
        </w:rPr>
        <w:t>Συλλόγους Εκπαιδευτικών Π.Ε.</w:t>
      </w:r>
    </w:p>
    <w:p w:rsidR="004E6A3C" w:rsidRPr="004E6A3C" w:rsidRDefault="004E6A3C" w:rsidP="004E6A3C">
      <w:pPr>
        <w:suppressAutoHyphens w:val="0"/>
        <w:jc w:val="right"/>
        <w:rPr>
          <w:rFonts w:ascii="Times New Roman" w:eastAsiaTheme="minorHAnsi" w:hAnsi="Times New Roman" w:cs="Times New Roman"/>
          <w:b/>
          <w:i/>
          <w:sz w:val="24"/>
          <w:lang w:eastAsia="en-US"/>
        </w:rPr>
      </w:pPr>
      <w:r w:rsidRPr="004E6A3C">
        <w:rPr>
          <w:rFonts w:ascii="Times New Roman" w:eastAsiaTheme="minorHAnsi" w:hAnsi="Times New Roman" w:cs="Times New Roman"/>
          <w:b/>
          <w:i/>
          <w:sz w:val="24"/>
          <w:lang w:eastAsia="en-US"/>
        </w:rPr>
        <w:t>Δ.Ο.Ε.</w:t>
      </w:r>
    </w:p>
    <w:p w:rsidR="004E6A3C" w:rsidRDefault="004E6A3C" w:rsidP="004E6A3C">
      <w:pPr>
        <w:spacing w:after="0"/>
        <w:ind w:left="1" w:right="-36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3C" w:rsidRDefault="004E6A3C" w:rsidP="00507A64">
      <w:pPr>
        <w:spacing w:after="0"/>
        <w:ind w:left="1" w:right="-36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64" w:rsidRDefault="00507A64" w:rsidP="00507A64">
      <w:pPr>
        <w:spacing w:after="0"/>
        <w:ind w:left="1" w:right="-36" w:hanging="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ΘΕΜΑ: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Δεν θα ανεχτούμε καμία συγχώνευση τμήματος </w:t>
      </w:r>
      <w:bookmarkEnd w:id="0"/>
    </w:p>
    <w:p w:rsidR="00507A64" w:rsidRDefault="00507A64" w:rsidP="00507A64">
      <w:pPr>
        <w:spacing w:after="0"/>
        <w:ind w:left="1" w:right="-850" w:hanging="3"/>
        <w:jc w:val="center"/>
        <w:rPr>
          <w:sz w:val="28"/>
          <w:szCs w:val="28"/>
        </w:rPr>
      </w:pPr>
    </w:p>
    <w:p w:rsidR="00507A64" w:rsidRPr="00507A64" w:rsidRDefault="00507A64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</w:rPr>
      </w:pPr>
      <w:r w:rsidRPr="00507A64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Με έγγραφο του το υπουργείο Παιδείας στις 22/10/2019 και θέμα ενημέρωση και επιβεβαίωση στοιχείων </w:t>
      </w:r>
      <w:proofErr w:type="spellStart"/>
      <w:r w:rsidRPr="00507A64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lang w:val="en-US"/>
        </w:rPr>
        <w:t>MySchool</w:t>
      </w:r>
      <w:proofErr w:type="spellEnd"/>
      <w:r w:rsidRPr="00507A64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</w:rPr>
        <w:t xml:space="preserve"> καλεί τους Διευθυντές Εκπαίδευσης να συμπτύξουν τμήματα, καθώς ύστερα από ενδελεχή έλεγχο, όπως αναφέρει, εντοπίστηκε προσωπικό παραπάνω από το επιτρεπτό της αναλογίας μαθητών ανά εκπαιδευτικό 25/1.</w:t>
      </w:r>
    </w:p>
    <w:p w:rsidR="00507A64" w:rsidRPr="00507A64" w:rsidRDefault="00507A64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</w:rPr>
      </w:pPr>
    </w:p>
    <w:p w:rsidR="004E6A3C" w:rsidRDefault="00ED3A9F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Το Υ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πουργείο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Παιδείας 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ζητά ευθέως από τους περιφερειακούς Διευθυντές 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proofErr w:type="spellStart"/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>κπαίδευσης</w:t>
      </w:r>
      <w:proofErr w:type="spellEnd"/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με τη σειρά τους να παρέμβουν στις διαδικασίες των ΠΥΣΠΕ. Οι δεύτεροι, με έγγραφό τους με τίτλο «επιβεβαίωση στοιχείων… συνέχεια εγκυκλίων και οδηγιών την καταχώρηση – </w:t>
      </w:r>
      <w:proofErr w:type="spellStart"/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>επικαιροποίηση</w:t>
      </w:r>
      <w:proofErr w:type="spellEnd"/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στοιχείων», καλούν εκ νέου σε συμπτύξεις τμημάτων.</w:t>
      </w:r>
    </w:p>
    <w:p w:rsidR="004E6A3C" w:rsidRDefault="004E6A3C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A64" w:rsidRDefault="00ED3A9F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Το Υ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>πουργ</w:t>
      </w:r>
      <w:r>
        <w:rPr>
          <w:rFonts w:ascii="Times New Roman" w:hAnsi="Times New Roman" w:cs="Times New Roman"/>
          <w:color w:val="333333"/>
          <w:sz w:val="24"/>
          <w:szCs w:val="24"/>
        </w:rPr>
        <w:t>είο Παιδείας επιδιώκοντας την «κανονικότητα»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μας γυρνά χρόνια πίσω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ενώ απαιτεί την κάλυψη τω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ν δεκάδων κενών που υπάρχουν ακόμα (28/10/2019) σε όλη τη χώρα, 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με συμπτύξεις τμημάτων. Η πολιτική ηγεσία του Υπουργείου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Παιδείας πειραματίζεται σε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 xml:space="preserve"> βάρος εκπαιδευτικών και μαθητών.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Σ’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 αυτούς τους πειραματισμούς καλούμε τους εκπαιδευτικούς και τη ΔΟΕ να απαντήσει ΟΧΙ.</w:t>
      </w:r>
    </w:p>
    <w:p w:rsidR="004E6A3C" w:rsidRDefault="004E6A3C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A64" w:rsidRPr="008677C0" w:rsidRDefault="00ED3A9F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Στα σχολεία της περιοχής ευθύνης του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 Σ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>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>Π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>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 Αμαρουσίου είχαμε </w:t>
      </w:r>
      <w:r w:rsidR="0052728B">
        <w:rPr>
          <w:rFonts w:ascii="Times New Roman" w:hAnsi="Times New Roman" w:cs="Times New Roman"/>
          <w:color w:val="333333"/>
          <w:sz w:val="24"/>
          <w:szCs w:val="24"/>
        </w:rPr>
        <w:t xml:space="preserve">ήδη 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κάποιες οχλήσεις και προσπάθειες για συμπτύξεις  τμημάτων, χωρίς αυτό να τίθεται </w:t>
      </w:r>
      <w:r w:rsidR="008677C0">
        <w:rPr>
          <w:rFonts w:ascii="Times New Roman" w:hAnsi="Times New Roman" w:cs="Times New Roman"/>
          <w:color w:val="333333"/>
          <w:sz w:val="24"/>
          <w:szCs w:val="24"/>
        </w:rPr>
        <w:t>επιτακτικά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 από τον Διευθυντή Εκπαίδευσης σ</w:t>
      </w:r>
      <w:r w:rsidR="0052728B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 xml:space="preserve"> αυτήν τη φάση. </w:t>
      </w:r>
      <w:r w:rsidR="008677C0">
        <w:rPr>
          <w:rFonts w:ascii="Times New Roman" w:hAnsi="Times New Roman" w:cs="Times New Roman"/>
          <w:color w:val="222222"/>
          <w:sz w:val="24"/>
          <w:szCs w:val="24"/>
        </w:rPr>
        <w:t>Σ</w:t>
      </w:r>
      <w:r w:rsidR="0052728B">
        <w:rPr>
          <w:rFonts w:ascii="Times New Roman" w:hAnsi="Times New Roman" w:cs="Times New Roman"/>
          <w:color w:val="222222"/>
          <w:sz w:val="24"/>
          <w:szCs w:val="24"/>
        </w:rPr>
        <w:t>’</w:t>
      </w:r>
      <w:r w:rsidR="008677C0">
        <w:rPr>
          <w:rFonts w:ascii="Times New Roman" w:hAnsi="Times New Roman" w:cs="Times New Roman"/>
          <w:color w:val="222222"/>
          <w:sz w:val="24"/>
          <w:szCs w:val="24"/>
        </w:rPr>
        <w:t xml:space="preserve"> αυτές τις προσπάθειες απαντάμε ότι </w:t>
      </w:r>
      <w:r w:rsidR="008677C0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507A64" w:rsidRPr="00507A64">
        <w:rPr>
          <w:rFonts w:ascii="Times New Roman" w:hAnsi="Times New Roman" w:cs="Times New Roman"/>
          <w:color w:val="333333"/>
          <w:sz w:val="24"/>
          <w:szCs w:val="24"/>
        </w:rPr>
        <w:t>εν θα ανεχτούμε καμιά σύμπτυξη τμημάτων ούτε τη μεθόδευση τεχνοκρατικής μείωσης των λειτουργικών αναγκών των σχολείων μας.</w:t>
      </w:r>
    </w:p>
    <w:p w:rsidR="008677C0" w:rsidRDefault="008677C0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677C0" w:rsidRDefault="008677C0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07A64" w:rsidRDefault="00507A64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677C0">
        <w:rPr>
          <w:rFonts w:ascii="Times New Roman" w:hAnsi="Times New Roman" w:cs="Times New Roman"/>
          <w:b/>
          <w:color w:val="333333"/>
          <w:sz w:val="24"/>
          <w:szCs w:val="24"/>
        </w:rPr>
        <w:t>Καλούμε άμεσα:</w:t>
      </w:r>
    </w:p>
    <w:p w:rsidR="008677C0" w:rsidRPr="008677C0" w:rsidRDefault="008677C0" w:rsidP="00507A64">
      <w:pPr>
        <w:pStyle w:val="a4"/>
        <w:spacing w:after="0" w:line="20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677C0" w:rsidRPr="00507A64" w:rsidRDefault="008677C0" w:rsidP="008677C0">
      <w:pPr>
        <w:pStyle w:val="a4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Το ΥΠΑ</w:t>
      </w:r>
      <w:r w:rsidR="00051C7D">
        <w:rPr>
          <w:rFonts w:ascii="Times New Roman" w:hAnsi="Times New Roman" w:cs="Times New Roman"/>
          <w:color w:val="333333"/>
          <w:sz w:val="24"/>
          <w:szCs w:val="24"/>
        </w:rPr>
        <w:t>Ι</w:t>
      </w:r>
      <w:r>
        <w:rPr>
          <w:rFonts w:ascii="Times New Roman" w:hAnsi="Times New Roman" w:cs="Times New Roman"/>
          <w:color w:val="333333"/>
          <w:sz w:val="24"/>
          <w:szCs w:val="24"/>
        </w:rPr>
        <w:t>Θ να ανακαλέσει την απαράδεκτη και αντιπαιδαγωγική αυτήν εγκύκλιο που προσπαθεί να καλύψει τα χιλιάδες κενά που υπάρχουν ακόμα χρησιμοποιώντας δημιουργική λογιστική.</w:t>
      </w:r>
    </w:p>
    <w:p w:rsidR="00507A64" w:rsidRPr="00507A64" w:rsidRDefault="00507A64" w:rsidP="00507A64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A64">
        <w:rPr>
          <w:rFonts w:ascii="Times New Roman" w:hAnsi="Times New Roman" w:cs="Times New Roman"/>
          <w:color w:val="333333"/>
          <w:sz w:val="24"/>
          <w:szCs w:val="24"/>
        </w:rPr>
        <w:t>Τα ΠΥΣΠΕ να μην ενδώσουν στις απειλές του Υπουργείου και του Περιφερεια</w:t>
      </w:r>
      <w:r w:rsidR="004E6A3C">
        <w:rPr>
          <w:rFonts w:ascii="Times New Roman" w:hAnsi="Times New Roman" w:cs="Times New Roman"/>
          <w:color w:val="333333"/>
          <w:sz w:val="24"/>
          <w:szCs w:val="24"/>
        </w:rPr>
        <w:t>κών Διευθυντών Εκπαίδευσης</w:t>
      </w:r>
      <w:r w:rsidRPr="00507A6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07A64" w:rsidRPr="0052728B" w:rsidRDefault="00507A64" w:rsidP="00507A64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7A64">
        <w:rPr>
          <w:rFonts w:ascii="Times New Roman" w:hAnsi="Times New Roman" w:cs="Times New Roman"/>
          <w:color w:val="333333"/>
          <w:sz w:val="24"/>
          <w:szCs w:val="24"/>
        </w:rPr>
        <w:t>Τη ΔΟΕ να πάρει θέση και να ζητήσει άμεσα εξηγήσεις από την πολιτική ηγεσία του Υπ. Παιδείας.</w:t>
      </w:r>
    </w:p>
    <w:p w:rsidR="0052728B" w:rsidRPr="00507A64" w:rsidRDefault="0052728B" w:rsidP="0052728B">
      <w:pPr>
        <w:pStyle w:val="a4"/>
        <w:spacing w:after="0" w:line="2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755D" w:rsidRPr="00507A64" w:rsidRDefault="004E6A3C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07D648DE" wp14:editId="42B61DBA">
            <wp:extent cx="5274310" cy="164655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5D" w:rsidRPr="00507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A090AE5"/>
    <w:multiLevelType w:val="hybridMultilevel"/>
    <w:tmpl w:val="56BE3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4"/>
    <w:rsid w:val="00051C7D"/>
    <w:rsid w:val="00204BA3"/>
    <w:rsid w:val="004E6A3C"/>
    <w:rsid w:val="00507A64"/>
    <w:rsid w:val="0052728B"/>
    <w:rsid w:val="008677C0"/>
    <w:rsid w:val="0094755D"/>
    <w:rsid w:val="00E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27B5-9074-4D23-AD24-C84D211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6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7A64"/>
    <w:rPr>
      <w:i/>
      <w:iCs/>
    </w:rPr>
  </w:style>
  <w:style w:type="paragraph" w:styleId="a4">
    <w:name w:val="Body Text"/>
    <w:basedOn w:val="a"/>
    <w:link w:val="Char"/>
    <w:rsid w:val="00507A64"/>
    <w:pPr>
      <w:spacing w:after="120"/>
    </w:pPr>
  </w:style>
  <w:style w:type="character" w:customStyle="1" w:styleId="Char">
    <w:name w:val="Σώμα κειμένου Char"/>
    <w:basedOn w:val="a0"/>
    <w:link w:val="a4"/>
    <w:rsid w:val="00507A6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2019-10-29T10:56:00Z</dcterms:created>
  <dcterms:modified xsi:type="dcterms:W3CDTF">2019-10-29T10:56:00Z</dcterms:modified>
</cp:coreProperties>
</file>